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7">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7B6F266C" w:rsidR="00744DBE" w:rsidRPr="00F71EEF" w:rsidRDefault="008F2456" w:rsidP="008F2456">
      <w:pPr>
        <w:rPr>
          <w:b/>
        </w:rPr>
      </w:pPr>
      <w:bookmarkStart w:id="0" w:name="_GoBack"/>
      <w:r w:rsidRPr="004729F3">
        <w:rPr>
          <w:b/>
        </w:rPr>
        <w:t xml:space="preserve">Figure 1: </w:t>
      </w:r>
      <w:bookmarkEnd w:id="0"/>
      <w:r>
        <w:rPr>
          <w:b/>
        </w:rPr>
        <w:t>Data structure</w:t>
      </w:r>
      <w:r w:rsidRPr="004729F3">
        <w:rPr>
          <w:b/>
        </w:rPr>
        <w:t>.</w:t>
      </w:r>
      <w:r w:rsidRPr="006B4E75">
        <w:t xml:space="preserve"> </w:t>
      </w:r>
      <w:r w:rsidR="009C66FC">
        <w:t>Our study uses a data</w:t>
      </w:r>
      <w:r>
        <w:t xml:space="preserve">set composed of </w:t>
      </w:r>
      <w:r w:rsidR="009C66FC">
        <w:t>155 samples. 152 samples</w:t>
      </w:r>
      <w:r w:rsidR="00234C43">
        <w:t xml:space="preserv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9C66FC">
        <w:t>,</w:t>
      </w:r>
      <w:r w:rsidR="00234C43">
        <w:t xml:space="preserve"> </w:t>
      </w:r>
      <w:r>
        <w:t xml:space="preserve">and 105 </w:t>
      </w:r>
      <w:r w:rsidR="00234C43">
        <w:t xml:space="preserve">of them have </w:t>
      </w:r>
      <w:r w:rsidR="00177AF3">
        <w:t>mass-spec proteomics</w:t>
      </w:r>
      <w:r w:rsidR="009C66FC">
        <w:t xml:space="preserve"> reads.</w:t>
      </w:r>
      <w:r>
        <w:t xml:space="preserve"> 103 of </w:t>
      </w:r>
      <w:r w:rsidR="009C66FC">
        <w:t>the</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9C66FC">
        <w:t>The d</w:t>
      </w:r>
      <w:r w:rsidR="00744DBE">
        <w:t xml:space="preserve">ata covers four different carbon sources: </w:t>
      </w:r>
      <w:r w:rsidR="00744DBE" w:rsidRPr="006B4E75">
        <w:t>glucose, glycerol, gluconate</w:t>
      </w:r>
      <w:r w:rsidR="00744DBE">
        <w:t>,</w:t>
      </w:r>
      <w:r w:rsidR="00744DBE" w:rsidRPr="006B4E75">
        <w:t xml:space="preserve"> and lactate</w:t>
      </w:r>
      <w:r w:rsidR="00744DBE">
        <w:t xml:space="preserve">; and variation for two different ions: </w:t>
      </w:r>
      <w:proofErr w:type="spellStart"/>
      <w:r w:rsidR="00410E9F">
        <w:t>i</w:t>
      </w:r>
      <w:proofErr w:type="spellEnd"/>
      <w:r w:rsidR="00410E9F">
        <w:t xml:space="preserve">) </w:t>
      </w:r>
      <w:r w:rsidR="009C66FC">
        <w:t xml:space="preserve">base and </w:t>
      </w:r>
      <w:r w:rsidR="00744DBE">
        <w:t xml:space="preserve">high sodium </w:t>
      </w:r>
      <w:r w:rsidR="00410E9F">
        <w:t xml:space="preserve">and ii) </w:t>
      </w:r>
      <w:r w:rsidR="00744DBE">
        <w:t>low</w:t>
      </w:r>
      <w:r w:rsidR="009C66FC">
        <w:t>, base,</w:t>
      </w:r>
      <w:r w:rsidR="00744DBE">
        <w:t xml:space="preserve"> and high magnesium.</w:t>
      </w:r>
      <w:r w:rsidR="0047644E">
        <w:t xml:space="preserve"> Collected samples </w:t>
      </w:r>
      <w:r w:rsidR="009C66FC">
        <w:t xml:space="preserve">additionally </w:t>
      </w:r>
      <w:r w:rsidR="0047644E">
        <w:t xml:space="preserve">span a </w:t>
      </w:r>
      <w:r w:rsidR="00CC003E">
        <w:t>two-week</w:t>
      </w:r>
      <w:r w:rsidR="0047644E">
        <w:t xml:space="preserve"> interval, which can be divided into 3 growth phases</w:t>
      </w:r>
      <w:r w:rsidR="009C66FC">
        <w:t>:</w:t>
      </w:r>
      <w:r w:rsidR="0047644E">
        <w:t xml:space="preserve"> exponential</w:t>
      </w:r>
      <w:r w:rsidR="009C66FC">
        <w:t xml:space="preserve"> (</w:t>
      </w:r>
      <w:proofErr w:type="spellStart"/>
      <w:r w:rsidR="009C66FC">
        <w:t>Exp</w:t>
      </w:r>
      <w:proofErr w:type="spellEnd"/>
      <w:r w:rsidR="009C66FC">
        <w:t>),</w:t>
      </w:r>
      <w:r w:rsidR="0047644E">
        <w:t xml:space="preserve"> stationary</w:t>
      </w:r>
      <w:r w:rsidR="009C66FC">
        <w:t xml:space="preserve"> (</w:t>
      </w:r>
      <w:proofErr w:type="spellStart"/>
      <w:r w:rsidR="009C66FC">
        <w:t>Sta</w:t>
      </w:r>
      <w:proofErr w:type="spellEnd"/>
      <w:r w:rsidR="009C66FC">
        <w:t>),</w:t>
      </w:r>
      <w:r w:rsidR="0047644E">
        <w:t xml:space="preserve"> and late stationary</w:t>
      </w:r>
      <w:r w:rsidR="009C66FC">
        <w:t xml:space="preserve"> (</w:t>
      </w:r>
      <w:proofErr w:type="spellStart"/>
      <w:proofErr w:type="gramStart"/>
      <w:r w:rsidR="009C66FC">
        <w:t>Lt.Sta</w:t>
      </w:r>
      <w:proofErr w:type="spellEnd"/>
      <w:proofErr w:type="gramEnd"/>
      <w:r w:rsidR="009C66FC">
        <w:t>)</w:t>
      </w:r>
      <w:r w:rsidR="0047644E">
        <w:t>.</w:t>
      </w:r>
    </w:p>
    <w:p w14:paraId="7CD6CC05" w14:textId="3A282B4F" w:rsidR="00F71EEF" w:rsidRDefault="00F71EEF"/>
    <w:p w14:paraId="3AD2CAC6" w14:textId="737CC777" w:rsidR="00400FD0" w:rsidRDefault="00B87672">
      <w:r>
        <w:rPr>
          <w:noProof/>
        </w:rPr>
        <w:drawing>
          <wp:anchor distT="0" distB="0" distL="114300" distR="114300" simplePos="0" relativeHeight="251667456" behindDoc="0" locked="0" layoutInCell="1" allowOverlap="1" wp14:anchorId="14FD0EE7" wp14:editId="652C8122">
            <wp:simplePos x="0" y="0"/>
            <wp:positionH relativeFrom="margin">
              <wp:align>center</wp:align>
            </wp:positionH>
            <wp:positionV relativeFrom="paragraph">
              <wp:posOffset>1905</wp:posOffset>
            </wp:positionV>
            <wp:extent cx="5546690" cy="6113307"/>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546690" cy="6113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2EE18CA"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5A1084">
        <w:t>into three parts. Initial process</w:t>
      </w:r>
      <w:r w:rsidR="00410E9F">
        <w:t>ing,</w:t>
      </w:r>
      <w:r w:rsidR="005A1084">
        <w:t xml:space="preserve"> test</w:t>
      </w:r>
      <w:r w:rsidR="00410E9F">
        <w:t>ing loop and tuning</w:t>
      </w:r>
      <w:r w:rsidR="005A1084">
        <w:t xml:space="preserve"> loop. After initial preparation</w:t>
      </w:r>
      <w:r w:rsidR="00410E9F">
        <w:t>,</w:t>
      </w:r>
      <w:r w:rsidR="005A1084">
        <w:t xml:space="preserve"> data is </w:t>
      </w:r>
      <w:r w:rsidR="00410E9F">
        <w:t xml:space="preserve">semi-randomly (preserving sub-sample ratios) separated into 2 parts: </w:t>
      </w:r>
      <w:r w:rsidR="005A1084" w:rsidRPr="00CA0125">
        <w:rPr>
          <w:i/>
        </w:rPr>
        <w:t>training</w:t>
      </w:r>
      <w:r w:rsidR="001F59E4" w:rsidRPr="00CA0125">
        <w:rPr>
          <w:i/>
        </w:rPr>
        <w:t>&amp;</w:t>
      </w:r>
      <w:r w:rsidR="00F97172">
        <w:rPr>
          <w:i/>
        </w:rPr>
        <w:t>tune</w:t>
      </w:r>
      <w:r w:rsidR="005A1084" w:rsidRPr="00CA0125">
        <w:rPr>
          <w:i/>
        </w:rPr>
        <w:t xml:space="preserve"> </w:t>
      </w:r>
      <w:r w:rsidR="005A1084">
        <w:t xml:space="preserve">and </w:t>
      </w:r>
      <w:r w:rsidR="005A1084" w:rsidRPr="00CA0125">
        <w:rPr>
          <w:i/>
        </w:rPr>
        <w:t>test</w:t>
      </w:r>
      <w:r w:rsidR="00410E9F">
        <w:t>.</w:t>
      </w:r>
      <w:r w:rsidR="005A1084">
        <w:t xml:space="preserve"> </w:t>
      </w:r>
      <w:r w:rsidR="00410E9F">
        <w:t>A</w:t>
      </w:r>
      <w:r w:rsidR="006B4FFF">
        <w:t xml:space="preserve">fter applying fSVA and </w:t>
      </w:r>
      <w:r w:rsidR="009366F1">
        <w:t>PCA to</w:t>
      </w:r>
      <w:r w:rsidR="00410E9F">
        <w:t xml:space="preserve"> the training data, </w:t>
      </w:r>
      <w:r w:rsidR="00945CEA">
        <w:t xml:space="preserve">we apply a C-Classification SVM </w:t>
      </w:r>
      <w:r w:rsidR="00410E9F">
        <w:t>(</w:t>
      </w:r>
      <w:r w:rsidR="00945CEA">
        <w:t>radial</w:t>
      </w:r>
      <w:r w:rsidR="00410E9F">
        <w:t>,</w:t>
      </w:r>
      <w:r w:rsidR="00945CEA">
        <w:t xml:space="preserve"> </w:t>
      </w:r>
      <w:r w:rsidR="0063062F">
        <w:t>sigmoidal</w:t>
      </w:r>
      <w:r w:rsidR="00410E9F">
        <w:t>,</w:t>
      </w:r>
      <w:r w:rsidR="0063062F">
        <w:t xml:space="preserve"> or linear </w:t>
      </w:r>
      <w:r w:rsidR="00945CEA">
        <w:t>kernel</w:t>
      </w:r>
      <w:r w:rsidR="00410E9F">
        <w:t>)</w:t>
      </w:r>
      <w:r w:rsidR="00945CEA">
        <w:t xml:space="preserve"> </w:t>
      </w:r>
      <w:r w:rsidR="0063062F">
        <w:t xml:space="preserve">or Random Forest </w:t>
      </w:r>
      <w:r w:rsidR="00945CEA">
        <w:t xml:space="preserve">with given class weights </w:t>
      </w:r>
      <w:r w:rsidR="00410E9F">
        <w:t>that</w:t>
      </w:r>
      <w:r w:rsidR="00945CEA">
        <w:t xml:space="preserve">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t>
      </w:r>
      <w:r w:rsidR="00410E9F">
        <w:t xml:space="preserve">that is first </w:t>
      </w:r>
      <w:r w:rsidR="00D6728E">
        <w:t>batch corrected and rotated.</w:t>
      </w:r>
      <w:r w:rsidR="00015B76">
        <w:t xml:space="preserve"> During the tuning process</w:t>
      </w:r>
      <w:r w:rsidR="00CA0125">
        <w:t xml:space="preserve"> the </w:t>
      </w:r>
      <w:r w:rsidR="00CA0125" w:rsidRPr="00CA0125">
        <w:rPr>
          <w:i/>
        </w:rPr>
        <w:t>train</w:t>
      </w:r>
      <w:r w:rsidR="00410E9F">
        <w:rPr>
          <w:i/>
        </w:rPr>
        <w:t xml:space="preserve">ing </w:t>
      </w:r>
      <w:r w:rsidR="00CA0125" w:rsidRPr="00CA0125">
        <w:rPr>
          <w:i/>
        </w:rPr>
        <w:t>&amp;</w:t>
      </w:r>
      <w:r w:rsidR="00410E9F">
        <w:rPr>
          <w:i/>
        </w:rPr>
        <w:t xml:space="preserve"> </w:t>
      </w:r>
      <w:r w:rsidR="00CA0125" w:rsidRPr="00CA0125">
        <w:rPr>
          <w:i/>
        </w:rPr>
        <w:t>tun</w:t>
      </w:r>
      <w:r w:rsidR="00410E9F">
        <w:rPr>
          <w:i/>
        </w:rPr>
        <w:t>ing</w:t>
      </w:r>
      <w:r w:rsidR="00CA0125">
        <w:t xml:space="preserve"> data is </w:t>
      </w:r>
      <w:r w:rsidR="00410E9F">
        <w:t xml:space="preserve">similarly </w:t>
      </w:r>
      <w:r w:rsidR="00CA0125">
        <w:t xml:space="preserve">divided into 10 independent </w:t>
      </w:r>
      <w:r w:rsidR="00CA0125" w:rsidRPr="00CA0125">
        <w:rPr>
          <w:i/>
        </w:rPr>
        <w:t>train</w:t>
      </w:r>
      <w:r w:rsidR="00CA0125">
        <w:t xml:space="preserve"> and </w:t>
      </w:r>
      <w:r w:rsidR="00CA0125" w:rsidRPr="00CA0125">
        <w:rPr>
          <w:i/>
        </w:rPr>
        <w:t>tune</w:t>
      </w:r>
      <w:r w:rsidR="00410E9F">
        <w:t xml:space="preserve"> datasets semi-randomly.</w:t>
      </w:r>
    </w:p>
    <w:p w14:paraId="28F6B31F" w14:textId="59365345" w:rsidR="00CE1590" w:rsidRDefault="00CE1590"/>
    <w:p w14:paraId="3C24116E" w14:textId="58FBAB28" w:rsidR="00CE1590" w:rsidRDefault="00CE1590" w:rsidP="00CE1590">
      <w:pPr>
        <w:rPr>
          <w:b/>
        </w:rPr>
      </w:pPr>
    </w:p>
    <w:p w14:paraId="6F7FB006" w14:textId="61C14AA9" w:rsidR="00B95FF5" w:rsidRDefault="00260C7A" w:rsidP="00CE1590">
      <w:pPr>
        <w:tabs>
          <w:tab w:val="left" w:pos="7376"/>
        </w:tabs>
        <w:rPr>
          <w:b/>
        </w:rPr>
      </w:pPr>
      <w:r>
        <w:rPr>
          <w:b/>
          <w:noProof/>
        </w:rPr>
        <w:drawing>
          <wp:inline distT="0" distB="0" distL="0" distR="0" wp14:anchorId="4F5A2616" wp14:editId="59B5B9C7">
            <wp:extent cx="6400800" cy="3848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_ppt.jpeg"/>
                    <pic:cNvPicPr/>
                  </pic:nvPicPr>
                  <pic:blipFill rotWithShape="1">
                    <a:blip r:embed="rId9">
                      <a:extLst>
                        <a:ext uri="{28A0092B-C50C-407E-A947-70E740481C1C}">
                          <a14:useLocalDpi xmlns:a14="http://schemas.microsoft.com/office/drawing/2010/main" val="0"/>
                        </a:ext>
                      </a:extLst>
                    </a:blip>
                    <a:srcRect b="5524"/>
                    <a:stretch/>
                  </pic:blipFill>
                  <pic:spPr bwMode="auto">
                    <a:xfrm>
                      <a:off x="0" y="0"/>
                      <a:ext cx="6400800" cy="3848518"/>
                    </a:xfrm>
                    <a:prstGeom prst="rect">
                      <a:avLst/>
                    </a:prstGeom>
                    <a:ln>
                      <a:noFill/>
                    </a:ln>
                    <a:extLst>
                      <a:ext uri="{53640926-AAD7-44D8-BBD7-CCE9431645EC}">
                        <a14:shadowObscured xmlns:a14="http://schemas.microsoft.com/office/drawing/2010/main"/>
                      </a:ext>
                    </a:extLst>
                  </pic:spPr>
                </pic:pic>
              </a:graphicData>
            </a:graphic>
          </wp:inline>
        </w:drawing>
      </w:r>
    </w:p>
    <w:p w14:paraId="1D49D8B3" w14:textId="77777777" w:rsidR="00B95FF5" w:rsidRDefault="00B95FF5" w:rsidP="00CE1590">
      <w:pPr>
        <w:tabs>
          <w:tab w:val="left" w:pos="7376"/>
        </w:tabs>
        <w:rPr>
          <w:b/>
        </w:rPr>
      </w:pPr>
    </w:p>
    <w:p w14:paraId="625042EB" w14:textId="472887A3"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r w:rsidR="009B0271">
        <w:t>. The black dots represent the mean values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0">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3AA02DBA"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D7276F">
        <w:rPr>
          <w:b/>
        </w:rPr>
        <w:t xml:space="preserve">Predictions of specific growth conditions </w:t>
      </w:r>
      <w:r w:rsidR="00FC17CF">
        <w:rPr>
          <w:b/>
        </w:rPr>
        <w:t xml:space="preserve">based on </w:t>
      </w:r>
      <w:r w:rsidR="00D7276F">
        <w:rPr>
          <w:b/>
        </w:rPr>
        <w:t>(</w:t>
      </w:r>
      <w:r w:rsidR="00336282">
        <w:rPr>
          <w:b/>
        </w:rPr>
        <w:t xml:space="preserve">A) mRNA and </w:t>
      </w:r>
      <w:r w:rsidR="00D7276F">
        <w:rPr>
          <w:b/>
        </w:rPr>
        <w:t>(</w:t>
      </w:r>
      <w:r w:rsidR="00336282">
        <w:rPr>
          <w:b/>
        </w:rPr>
        <w:t xml:space="preserve">B) </w:t>
      </w:r>
      <w:r w:rsidR="00D7276F">
        <w:rPr>
          <w:b/>
        </w:rPr>
        <w:t>protein abundances</w:t>
      </w:r>
      <w:r w:rsidR="00D651B9">
        <w:rPr>
          <w:b/>
        </w:rPr>
        <w:t xml:space="preserve">. </w:t>
      </w:r>
      <w:r w:rsidR="00B64D5E">
        <w:t xml:space="preserve">Here we summarize the results of 60 independent runs with SVM using </w:t>
      </w:r>
      <w:r w:rsidR="00F97172">
        <w:t>the winning</w:t>
      </w:r>
      <w:r w:rsidR="00B64D5E">
        <w:t xml:space="preserve"> model</w:t>
      </w:r>
      <w:r w:rsidR="0067458A">
        <w:t xml:space="preserve"> distributed for 16 distinct conditions</w:t>
      </w:r>
      <w:r w:rsidR="00F97172">
        <w:t xml:space="preserve">. </w:t>
      </w:r>
      <w:r w:rsidR="00B64D5E">
        <w:t xml:space="preserve">Rows represent </w:t>
      </w:r>
      <w:r w:rsidR="00D7276F">
        <w:t xml:space="preserve">true </w:t>
      </w:r>
      <w:r w:rsidR="00B64D5E">
        <w:t xml:space="preserve">conditions and </w:t>
      </w:r>
      <w:r w:rsidR="00D7276F">
        <w:t>columns represent predicted conditions</w:t>
      </w:r>
      <w:r w:rsidR="00B64D5E">
        <w:t xml:space="preserve">. The numbers in the cells </w:t>
      </w:r>
      <w:r w:rsidR="00F40493">
        <w:t xml:space="preserve">and the shading of the cells </w:t>
      </w:r>
      <w:r w:rsidR="00B64D5E">
        <w:t xml:space="preserve">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F97172">
        <w:t xml:space="preserve"> with radial kernel is the best performing model in the t</w:t>
      </w:r>
      <w:r w:rsidR="00B64D5E">
        <w:t xml:space="preserve">uning </w:t>
      </w:r>
      <w:r w:rsidR="0067458A">
        <w:t xml:space="preserve">process </w:t>
      </w:r>
      <w:r w:rsidR="00F97172">
        <w:t>with</w:t>
      </w:r>
      <w:r w:rsidR="0067458A">
        <w:t xml:space="preserve">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t>
      </w:r>
      <w:r w:rsidR="00F97172">
        <w:t>best performing model</w:t>
      </w:r>
      <w:r w:rsidR="0067458A">
        <w:t xml:space="preserve"> in </w:t>
      </w:r>
      <w:r w:rsidR="00F97172">
        <w:t xml:space="preserve">the </w:t>
      </w:r>
      <w:r w:rsidR="0067458A">
        <w:t xml:space="preserve">tuning process </w:t>
      </w:r>
      <w:r w:rsidR="00F97172">
        <w:t>with</w:t>
      </w:r>
      <w:r w:rsidR="0067458A">
        <w:t xml:space="preserve"> protein data where it wins 38 of 60 independent runs and 54.3% of the distributed values are on diagonal line.</w:t>
      </w:r>
    </w:p>
    <w:p w14:paraId="6333E4E6" w14:textId="68279D4C" w:rsidR="003C41D3" w:rsidRDefault="003C41D3">
      <w:pPr>
        <w:rPr>
          <w:b/>
        </w:rPr>
      </w:pPr>
    </w:p>
    <w:p w14:paraId="5C3415B3" w14:textId="1512DB42" w:rsidR="0075293E" w:rsidRDefault="000D45A9" w:rsidP="003C41D3">
      <w:pPr>
        <w:rPr>
          <w:b/>
        </w:rPr>
      </w:pPr>
      <w:r>
        <w:rPr>
          <w:b/>
          <w:noProof/>
        </w:rPr>
        <w:drawing>
          <wp:inline distT="0" distB="0" distL="0" distR="0" wp14:anchorId="0F72264E" wp14:editId="053CB0AB">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1"/>
                    <a:stretch>
                      <a:fillRect/>
                    </a:stretch>
                  </pic:blipFill>
                  <pic:spPr>
                    <a:xfrm>
                      <a:off x="0" y="0"/>
                      <a:ext cx="6400800" cy="3782060"/>
                    </a:xfrm>
                    <a:prstGeom prst="rect">
                      <a:avLst/>
                    </a:prstGeom>
                  </pic:spPr>
                </pic:pic>
              </a:graphicData>
            </a:graphic>
          </wp:inline>
        </w:drawing>
      </w:r>
    </w:p>
    <w:p w14:paraId="657E78B5" w14:textId="3362AEC5" w:rsidR="00181BD3" w:rsidRDefault="008D5E5C" w:rsidP="00181BD3">
      <w:pPr>
        <w:rPr>
          <w:b/>
        </w:rPr>
      </w:pPr>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one data type.</w:t>
      </w:r>
      <w:r w:rsidR="00181BD3" w:rsidRPr="00FC17CF">
        <w:rPr>
          <w:b/>
        </w:rPr>
        <w:t xml:space="preserve"> </w:t>
      </w:r>
      <w:r w:rsidR="00364D59" w:rsidRPr="00364D59">
        <w:t xml:space="preserve">The </w:t>
      </w:r>
      <w:r w:rsidR="00F97172">
        <w:t>102 samples for which we have both proteins and mRNA level data</w:t>
      </w:r>
      <w:r w:rsidR="00364D59">
        <w:t xml:space="preserve"> are used to compare the performance o</w:t>
      </w:r>
      <w:r w:rsidR="00F97172">
        <w:t>f machine learning models on on</w:t>
      </w:r>
      <w:r w:rsidR="00364D59">
        <w:t>ly mRNA, only protein</w:t>
      </w:r>
      <w:r w:rsidR="00F97172">
        <w:t>, and mRNA &amp; protein data (left to right).</w:t>
      </w:r>
      <w:r w:rsidR="00364D59">
        <w:t xml:space="preserve"> Performance increase</w:t>
      </w:r>
      <w:r w:rsidR="00F97172">
        <w:t xml:space="preserve"> for combined mRNA and protein data</w:t>
      </w:r>
      <w:r w:rsidR="00364D59">
        <w:t xml:space="preserve"> is independent of the used </w:t>
      </w:r>
      <w:proofErr w:type="spellStart"/>
      <w:proofErr w:type="gramStart"/>
      <w:r w:rsidR="00364D59">
        <w:t>model.</w:t>
      </w:r>
      <w:r w:rsidR="00E72739">
        <w:t>The</w:t>
      </w:r>
      <w:proofErr w:type="spellEnd"/>
      <w:proofErr w:type="gramEnd"/>
      <w:r w:rsidR="00E72739">
        <w:t xml:space="preserve"> significance of the differences can be found in 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2"/>
                    <a:stretch>
                      <a:fillRect/>
                    </a:stretch>
                  </pic:blipFill>
                  <pic:spPr>
                    <a:xfrm>
                      <a:off x="0" y="0"/>
                      <a:ext cx="6400800" cy="3782060"/>
                    </a:xfrm>
                    <a:prstGeom prst="rect">
                      <a:avLst/>
                    </a:prstGeom>
                  </pic:spPr>
                </pic:pic>
              </a:graphicData>
            </a:graphic>
          </wp:inline>
        </w:drawing>
      </w:r>
    </w:p>
    <w:p w14:paraId="3DD2331E" w14:textId="1FC415BA" w:rsidR="00181BD3" w:rsidRDefault="000D45A9" w:rsidP="00181BD3">
      <w:r>
        <w:rPr>
          <w:b/>
        </w:rPr>
        <w:br/>
      </w:r>
      <w:r w:rsidR="008D5E5C">
        <w:rPr>
          <w:b/>
        </w:rPr>
        <w:t>Figure 6</w:t>
      </w:r>
      <w:r w:rsidR="00181BD3" w:rsidRPr="002F76FB">
        <w:rPr>
          <w:b/>
        </w:rPr>
        <w:t xml:space="preserve">. Overall prediction trends </w:t>
      </w:r>
      <w:r w:rsidR="00F97172">
        <w:rPr>
          <w:b/>
        </w:rPr>
        <w:t>according to the growth phase of the training data</w:t>
      </w:r>
      <w:r w:rsidR="00181BD3" w:rsidRPr="002F76FB">
        <w:rPr>
          <w:b/>
        </w:rPr>
        <w:t xml:space="preserv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xml:space="preserve">. The trends between exponential and stationary phase </w:t>
      </w:r>
      <w:r w:rsidR="00782335">
        <w:t>illustrate</w:t>
      </w:r>
      <w:r w:rsidR="00181BD3">
        <w:t xml:space="preserve"> the decrease in predictability</w:t>
      </w:r>
      <w:r w:rsidR="00C07EF0">
        <w:t xml:space="preserve"> with increasing time independent from chosen model</w:t>
      </w:r>
      <w:r w:rsidR="00F1247B">
        <w:t>.</w:t>
      </w:r>
      <w:r w:rsidR="002053B9">
        <w:t xml:space="preserve"> The models are trained either on exponential or stationary training samples and tested on corresponding exponential and stationary test samples</w:t>
      </w:r>
    </w:p>
    <w:p w14:paraId="72800190" w14:textId="187AE2DD" w:rsidR="004043D9" w:rsidRDefault="004043D9">
      <w:pPr>
        <w:rPr>
          <w:b/>
        </w:rPr>
      </w:pPr>
      <w:r>
        <w:rPr>
          <w:b/>
        </w:rPr>
        <w:br w:type="page"/>
      </w:r>
    </w:p>
    <w:p w14:paraId="5B22FC2F" w14:textId="68E607EB" w:rsidR="00BD144F" w:rsidRDefault="00E81E78" w:rsidP="00BD144F">
      <w:pPr>
        <w:rPr>
          <w:b/>
        </w:rPr>
      </w:pPr>
      <w:r>
        <w:rPr>
          <w:b/>
          <w:noProof/>
        </w:rPr>
        <w:lastRenderedPageBreak/>
        <w:drawing>
          <wp:inline distT="0" distB="0" distL="0" distR="0" wp14:anchorId="5BCAB5E9" wp14:editId="28D8205A">
            <wp:extent cx="6400800" cy="446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inctTests_mRNA_Protein.pdf"/>
                    <pic:cNvPicPr/>
                  </pic:nvPicPr>
                  <pic:blipFill>
                    <a:blip r:embed="rId13">
                      <a:extLst>
                        <a:ext uri="{28A0092B-C50C-407E-A947-70E740481C1C}">
                          <a14:useLocalDpi xmlns:a14="http://schemas.microsoft.com/office/drawing/2010/main" val="0"/>
                        </a:ext>
                      </a:extLst>
                    </a:blip>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4305FCDC"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w:t>
      </w:r>
      <w:r w:rsidR="00782335">
        <w:t>-</w:t>
      </w:r>
      <w:r w:rsidR="003124D1">
        <w:t>class F</w:t>
      </w:r>
      <w:r w:rsidR="003124D1" w:rsidRPr="00782335">
        <w:rPr>
          <w:vertAlign w:val="subscript"/>
        </w:rPr>
        <w:t>1</w:t>
      </w:r>
      <w:r w:rsidR="003124D1">
        <w:t xml:space="preserve"> score 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w:t>
      </w:r>
      <w:proofErr w:type="gramStart"/>
      <w:r w:rsidR="00782335">
        <w:t>levels,  and</w:t>
      </w:r>
      <w:proofErr w:type="gramEnd"/>
      <w:r w:rsidR="00782335">
        <w:t xml:space="preserve"> </w:t>
      </w:r>
      <w:r w:rsidR="003124D1">
        <w:t>Na</w:t>
      </w:r>
      <w:r w:rsidR="003124D1" w:rsidRPr="003124D1">
        <w:rPr>
          <w:vertAlign w:val="superscript"/>
        </w:rPr>
        <w:t>+</w:t>
      </w:r>
      <w:r w:rsidR="003124D1">
        <w:t xml:space="preserve"> levels</w:t>
      </w:r>
      <w:r w:rsidR="00782335">
        <w:t>. The dataset used in this comparison is only the samples with both mRNA and protein level data</w:t>
      </w:r>
      <w:r>
        <w:t xml:space="preserve">. </w:t>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F8BAA32"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5C0D2EFB"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7DB4D9AA" w:rsidR="0017633B" w:rsidRDefault="001B4F39" w:rsidP="001B4F39">
      <w:r w:rsidRPr="00CD61E2">
        <w:rPr>
          <w:b/>
        </w:rPr>
        <w:t xml:space="preserve">Table1: </w:t>
      </w:r>
      <w:commentRangeStart w:id="1"/>
      <w:r>
        <w:t>The winner model distributions out of 60 independent runs in the tuning process for mRNA and protein data</w:t>
      </w:r>
      <w:commentRangeEnd w:id="1"/>
      <w:r>
        <w:rPr>
          <w:rStyle w:val="CommentReference"/>
        </w:rPr>
        <w:commentReference w:id="1"/>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r w:rsidR="00D14399" w14:paraId="3AECABD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4167F88C" w14:textId="46B32FFA" w:rsidR="00D14399" w:rsidRDefault="00D14399" w:rsidP="00D14399">
            <w:pPr>
              <w:pStyle w:val="Heading2"/>
              <w:outlineLvl w:val="1"/>
            </w:pPr>
          </w:p>
        </w:tc>
        <w:tc>
          <w:tcPr>
            <w:tcW w:w="3192" w:type="dxa"/>
          </w:tcPr>
          <w:p w14:paraId="4CB6E37B" w14:textId="2C4760F6"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p>
        </w:tc>
        <w:tc>
          <w:tcPr>
            <w:tcW w:w="3192" w:type="dxa"/>
          </w:tcPr>
          <w:p w14:paraId="1F41D09C" w14:textId="735702EB"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4E5BC938" w:rsidR="00003FDC" w:rsidRDefault="00003FDC" w:rsidP="0017633B">
      <w:commentRangeStart w:id="2"/>
      <w:commentRangeStart w:id="3"/>
      <w:r w:rsidRPr="00047103">
        <w:rPr>
          <w:b/>
        </w:rPr>
        <w:t>Table2</w:t>
      </w:r>
      <w:r>
        <w:rPr>
          <w:b/>
        </w:rPr>
        <w:t>:</w:t>
      </w:r>
      <w:commentRangeEnd w:id="2"/>
      <w:r>
        <w:rPr>
          <w:rStyle w:val="CommentReference"/>
        </w:rPr>
        <w:commentReference w:id="2"/>
      </w:r>
      <w:commentRangeEnd w:id="3"/>
      <w:r w:rsidR="004F672D">
        <w:rPr>
          <w:rStyle w:val="CommentReference"/>
        </w:rPr>
        <w:commentReference w:id="3"/>
      </w:r>
      <w:r>
        <w:t xml:space="preserve"> Comparison of </w:t>
      </w:r>
      <w:r w:rsidRPr="0042700D">
        <w:rPr>
          <w:i/>
        </w:rPr>
        <w:t>multi conditional F1 scores</w:t>
      </w:r>
      <w:r>
        <w:t xml:space="preserve"> generated by using intersection mRNA, intersection protein and combined dataset by using t test</w:t>
      </w:r>
      <w:r w:rsidR="0014397B">
        <w:t xml:space="preserve">. </w:t>
      </w:r>
      <w:r w:rsidR="006840DC">
        <w:t>All comparisons are statistically significant after correction for multiple testing.</w:t>
      </w:r>
      <w:r w:rsidR="00503231">
        <w:t xml:space="preserve"> The corresponding distributions can be found in figure 5.</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br w:type="page"/>
      </w:r>
    </w:p>
    <w:p w14:paraId="7C3FCA41" w14:textId="77777777" w:rsidR="0062644F" w:rsidRDefault="0062644F" w:rsidP="00047103"/>
    <w:tbl>
      <w:tblPr>
        <w:tblW w:w="5000" w:type="pct"/>
        <w:tblBorders>
          <w:top w:val="nil"/>
          <w:left w:val="nil"/>
          <w:right w:val="nil"/>
        </w:tblBorders>
        <w:tblLook w:val="0000" w:firstRow="0" w:lastRow="0" w:firstColumn="0" w:lastColumn="0" w:noHBand="0" w:noVBand="0"/>
      </w:tblPr>
      <w:tblGrid>
        <w:gridCol w:w="2322"/>
        <w:gridCol w:w="1909"/>
        <w:gridCol w:w="1911"/>
        <w:gridCol w:w="2210"/>
        <w:gridCol w:w="1944"/>
      </w:tblGrid>
      <w:tr w:rsidR="00EA28F9" w:rsidRPr="00E234C3" w14:paraId="43E42E4C" w14:textId="77777777" w:rsidTr="003A48E6">
        <w:tc>
          <w:tcPr>
            <w:tcW w:w="1128" w:type="pct"/>
            <w:tcBorders>
              <w:top w:val="nil"/>
              <w:left w:val="nil"/>
              <w:bottom w:val="single" w:sz="4" w:space="0" w:color="FFFFFF" w:themeColor="background1"/>
              <w:right w:val="single" w:sz="4" w:space="0" w:color="FFFFFF" w:themeColor="background1"/>
            </w:tcBorders>
            <w:vAlign w:val="center"/>
          </w:tcPr>
          <w:p w14:paraId="3EDB02BB" w14:textId="77777777" w:rsidR="00EA28F9" w:rsidRPr="00E234C3" w:rsidRDefault="00EA28F9" w:rsidP="003A48E6">
            <w:pPr>
              <w:autoSpaceDE w:val="0"/>
              <w:autoSpaceDN w:val="0"/>
              <w:adjustRightInd w:val="0"/>
              <w:spacing w:line="520" w:lineRule="atLeast"/>
              <w:rPr>
                <w:rFonts w:ascii="Calibri" w:hAnsi="Calibri" w:cs="Calibri"/>
                <w:b/>
                <w:bCs/>
                <w:color w:val="000000"/>
                <w:sz w:val="22"/>
                <w:szCs w:val="42"/>
              </w:rPr>
            </w:pPr>
            <w:r>
              <w:rPr>
                <w:rFonts w:ascii="Calibri" w:hAnsi="Calibri" w:cs="Calibri"/>
                <w:b/>
                <w:bCs/>
                <w:color w:val="000000"/>
                <w:sz w:val="22"/>
                <w:szCs w:val="42"/>
              </w:rPr>
              <w:t>A</w:t>
            </w:r>
          </w:p>
        </w:tc>
        <w:tc>
          <w:tcPr>
            <w:tcW w:w="927" w:type="pct"/>
            <w:tcBorders>
              <w:top w:val="nil"/>
              <w:left w:val="single" w:sz="4" w:space="0" w:color="FFFFFF" w:themeColor="background1"/>
              <w:bottom w:val="single" w:sz="4" w:space="0" w:color="FFFFFF" w:themeColor="background1"/>
            </w:tcBorders>
            <w:vAlign w:val="center"/>
          </w:tcPr>
          <w:p w14:paraId="73049A9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928" w:type="pct"/>
            <w:tcBorders>
              <w:top w:val="nil"/>
              <w:bottom w:val="single" w:sz="4" w:space="0" w:color="FFFFFF" w:themeColor="background1"/>
            </w:tcBorders>
            <w:vAlign w:val="center"/>
          </w:tcPr>
          <w:p w14:paraId="12ABB12F"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1073" w:type="pct"/>
            <w:tcBorders>
              <w:top w:val="nil"/>
              <w:bottom w:val="single" w:sz="4" w:space="0" w:color="FFFFFF" w:themeColor="background1"/>
            </w:tcBorders>
            <w:vAlign w:val="center"/>
          </w:tcPr>
          <w:p w14:paraId="5FB9043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944" w:type="pct"/>
            <w:tcBorders>
              <w:top w:val="nil"/>
              <w:bottom w:val="single" w:sz="4" w:space="0" w:color="FFFFFF" w:themeColor="background1"/>
              <w:right w:val="nil"/>
            </w:tcBorders>
            <w:vAlign w:val="center"/>
          </w:tcPr>
          <w:p w14:paraId="57E33E9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r>
      <w:tr w:rsidR="00EA28F9" w:rsidRPr="00E234C3" w14:paraId="069F07EB" w14:textId="77777777" w:rsidTr="003A48E6">
        <w:tc>
          <w:tcPr>
            <w:tcW w:w="1128" w:type="pct"/>
            <w:tcBorders>
              <w:top w:val="single" w:sz="4" w:space="0" w:color="FFFFFF" w:themeColor="background1"/>
              <w:left w:val="nil"/>
              <w:bottom w:val="single" w:sz="4" w:space="0" w:color="000000"/>
              <w:right w:val="single" w:sz="4" w:space="0" w:color="FFFFFF" w:themeColor="background1"/>
            </w:tcBorders>
            <w:vAlign w:val="center"/>
          </w:tcPr>
          <w:p w14:paraId="23D0E97C" w14:textId="77777777" w:rsidR="00EA28F9" w:rsidRPr="00E234C3" w:rsidRDefault="00EA28F9" w:rsidP="003A48E6">
            <w:pPr>
              <w:autoSpaceDE w:val="0"/>
              <w:autoSpaceDN w:val="0"/>
              <w:adjustRightInd w:val="0"/>
              <w:spacing w:line="520" w:lineRule="atLeast"/>
              <w:rPr>
                <w:rFonts w:ascii="Calibri" w:hAnsi="Calibri" w:cs="Calibri"/>
                <w:b/>
                <w:bCs/>
                <w:color w:val="000000"/>
                <w:sz w:val="22"/>
                <w:szCs w:val="42"/>
              </w:rPr>
            </w:pPr>
            <w:r w:rsidRPr="00E234C3">
              <w:rPr>
                <w:rFonts w:ascii="Calibri" w:hAnsi="Calibri" w:cs="Calibri"/>
                <w:b/>
                <w:bCs/>
                <w:color w:val="000000"/>
                <w:sz w:val="22"/>
                <w:szCs w:val="42"/>
              </w:rPr>
              <w:t> </w:t>
            </w:r>
            <w:r>
              <w:rPr>
                <w:rFonts w:ascii="Calibri" w:hAnsi="Calibri" w:cs="Calibri"/>
                <w:b/>
                <w:bCs/>
                <w:color w:val="000000"/>
                <w:sz w:val="22"/>
                <w:szCs w:val="42"/>
              </w:rPr>
              <w:t>Samples</w:t>
            </w:r>
          </w:p>
        </w:tc>
        <w:tc>
          <w:tcPr>
            <w:tcW w:w="927" w:type="pct"/>
            <w:tcBorders>
              <w:top w:val="single" w:sz="4" w:space="0" w:color="FFFFFF" w:themeColor="background1"/>
              <w:left w:val="single" w:sz="4" w:space="0" w:color="FFFFFF" w:themeColor="background1"/>
              <w:bottom w:val="single" w:sz="4" w:space="0" w:color="000000"/>
            </w:tcBorders>
            <w:vAlign w:val="center"/>
          </w:tcPr>
          <w:p w14:paraId="209A05A7"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Na level</w:t>
            </w:r>
          </w:p>
        </w:tc>
        <w:tc>
          <w:tcPr>
            <w:tcW w:w="928" w:type="pct"/>
            <w:tcBorders>
              <w:top w:val="single" w:sz="4" w:space="0" w:color="FFFFFF" w:themeColor="background1"/>
              <w:bottom w:val="single" w:sz="4" w:space="0" w:color="000000"/>
            </w:tcBorders>
            <w:vAlign w:val="center"/>
          </w:tcPr>
          <w:p w14:paraId="4FD795B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Mg Level</w:t>
            </w:r>
          </w:p>
        </w:tc>
        <w:tc>
          <w:tcPr>
            <w:tcW w:w="1073" w:type="pct"/>
            <w:tcBorders>
              <w:top w:val="single" w:sz="4" w:space="0" w:color="FFFFFF" w:themeColor="background1"/>
              <w:bottom w:val="single" w:sz="4" w:space="0" w:color="000000"/>
            </w:tcBorders>
            <w:vAlign w:val="center"/>
          </w:tcPr>
          <w:p w14:paraId="1C9729E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Carbon source</w:t>
            </w:r>
          </w:p>
        </w:tc>
        <w:tc>
          <w:tcPr>
            <w:tcW w:w="944" w:type="pct"/>
            <w:tcBorders>
              <w:top w:val="single" w:sz="4" w:space="0" w:color="FFFFFF" w:themeColor="background1"/>
              <w:bottom w:val="single" w:sz="4" w:space="0" w:color="000000"/>
              <w:right w:val="nil"/>
            </w:tcBorders>
            <w:vAlign w:val="center"/>
          </w:tcPr>
          <w:p w14:paraId="6E2E7081" w14:textId="3D695DF6" w:rsidR="00EA28F9" w:rsidRPr="00B529C7" w:rsidRDefault="00DE3836"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Growth</w:t>
            </w:r>
          </w:p>
        </w:tc>
      </w:tr>
      <w:tr w:rsidR="00EA28F9" w:rsidRPr="00E234C3" w14:paraId="40C81FAF" w14:textId="77777777" w:rsidTr="003A48E6">
        <w:tblPrEx>
          <w:tblBorders>
            <w:top w:val="none" w:sz="0" w:space="0" w:color="auto"/>
          </w:tblBorders>
        </w:tblPrEx>
        <w:tc>
          <w:tcPr>
            <w:tcW w:w="1128" w:type="pct"/>
            <w:tcBorders>
              <w:top w:val="single" w:sz="4" w:space="0" w:color="000000"/>
              <w:left w:val="nil"/>
              <w:right w:val="single" w:sz="4" w:space="0" w:color="000000"/>
            </w:tcBorders>
            <w:shd w:val="clear" w:color="auto" w:fill="EEECE1" w:themeFill="background2"/>
            <w:vAlign w:val="center"/>
          </w:tcPr>
          <w:p w14:paraId="1DFF6A03"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A</w:t>
            </w:r>
          </w:p>
        </w:tc>
        <w:tc>
          <w:tcPr>
            <w:tcW w:w="927" w:type="pct"/>
            <w:tcBorders>
              <w:left w:val="single" w:sz="4" w:space="0" w:color="000000"/>
            </w:tcBorders>
            <w:shd w:val="clear" w:color="auto" w:fill="EEECE1" w:themeFill="background2"/>
            <w:vAlign w:val="center"/>
          </w:tcPr>
          <w:p w14:paraId="6A92ABE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shd w:val="clear" w:color="auto" w:fill="EEECE1" w:themeFill="background2"/>
            <w:vAlign w:val="center"/>
          </w:tcPr>
          <w:p w14:paraId="17DAEE8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shd w:val="clear" w:color="auto" w:fill="EEECE1" w:themeFill="background2"/>
            <w:vAlign w:val="center"/>
          </w:tcPr>
          <w:p w14:paraId="44FD90CD"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shd w:val="clear" w:color="auto" w:fill="EEECE1" w:themeFill="background2"/>
            <w:vAlign w:val="center"/>
          </w:tcPr>
          <w:p w14:paraId="4EA8E78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5831207A" w14:textId="77777777" w:rsidTr="003A48E6">
        <w:tblPrEx>
          <w:tblBorders>
            <w:top w:val="none" w:sz="0" w:space="0" w:color="auto"/>
          </w:tblBorders>
        </w:tblPrEx>
        <w:tc>
          <w:tcPr>
            <w:tcW w:w="1128" w:type="pct"/>
            <w:tcBorders>
              <w:left w:val="nil"/>
              <w:right w:val="single" w:sz="4" w:space="0" w:color="000000"/>
            </w:tcBorders>
            <w:vAlign w:val="center"/>
          </w:tcPr>
          <w:p w14:paraId="5874420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B</w:t>
            </w:r>
          </w:p>
        </w:tc>
        <w:tc>
          <w:tcPr>
            <w:tcW w:w="927" w:type="pct"/>
            <w:tcBorders>
              <w:left w:val="single" w:sz="4" w:space="0" w:color="000000"/>
            </w:tcBorders>
            <w:vAlign w:val="center"/>
          </w:tcPr>
          <w:p w14:paraId="7F16155A"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0D3E25D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vAlign w:val="center"/>
          </w:tcPr>
          <w:p w14:paraId="243E849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Glucose*</w:t>
            </w:r>
          </w:p>
        </w:tc>
        <w:tc>
          <w:tcPr>
            <w:tcW w:w="944" w:type="pct"/>
            <w:tcBorders>
              <w:right w:val="nil"/>
            </w:tcBorders>
            <w:vAlign w:val="center"/>
          </w:tcPr>
          <w:p w14:paraId="0D718CB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558AA836" w14:textId="77777777" w:rsidTr="003A48E6">
        <w:tblPrEx>
          <w:tblBorders>
            <w:top w:val="none" w:sz="0" w:space="0" w:color="auto"/>
          </w:tblBorders>
        </w:tblPrEx>
        <w:tc>
          <w:tcPr>
            <w:tcW w:w="1128" w:type="pct"/>
            <w:tcBorders>
              <w:left w:val="nil"/>
              <w:right w:val="single" w:sz="4" w:space="0" w:color="000000"/>
            </w:tcBorders>
            <w:shd w:val="clear" w:color="auto" w:fill="EEECE1" w:themeFill="background2"/>
            <w:vAlign w:val="center"/>
          </w:tcPr>
          <w:p w14:paraId="6FB7BEC9"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C</w:t>
            </w:r>
          </w:p>
        </w:tc>
        <w:tc>
          <w:tcPr>
            <w:tcW w:w="927" w:type="pct"/>
            <w:tcBorders>
              <w:left w:val="single" w:sz="4" w:space="0" w:color="000000"/>
            </w:tcBorders>
            <w:shd w:val="clear" w:color="auto" w:fill="EEECE1" w:themeFill="background2"/>
            <w:vAlign w:val="center"/>
          </w:tcPr>
          <w:p w14:paraId="771F1662"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base Na*</w:t>
            </w:r>
          </w:p>
        </w:tc>
        <w:tc>
          <w:tcPr>
            <w:tcW w:w="928" w:type="pct"/>
            <w:shd w:val="clear" w:color="auto" w:fill="EEECE1" w:themeFill="background2"/>
            <w:vAlign w:val="center"/>
          </w:tcPr>
          <w:p w14:paraId="7EAAA70F"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shd w:val="clear" w:color="auto" w:fill="EEECE1" w:themeFill="background2"/>
            <w:vAlign w:val="center"/>
          </w:tcPr>
          <w:p w14:paraId="73D7D538"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shd w:val="clear" w:color="auto" w:fill="EEECE1" w:themeFill="background2"/>
            <w:vAlign w:val="center"/>
          </w:tcPr>
          <w:p w14:paraId="3A1BBF6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2EC9C622" w14:textId="77777777" w:rsidTr="003A48E6">
        <w:tblPrEx>
          <w:tblBorders>
            <w:top w:val="none" w:sz="0" w:space="0" w:color="auto"/>
          </w:tblBorders>
        </w:tblPrEx>
        <w:tc>
          <w:tcPr>
            <w:tcW w:w="1128" w:type="pct"/>
            <w:tcBorders>
              <w:left w:val="nil"/>
              <w:right w:val="single" w:sz="4" w:space="0" w:color="000000"/>
            </w:tcBorders>
            <w:vAlign w:val="center"/>
          </w:tcPr>
          <w:p w14:paraId="4363F8A2"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D</w:t>
            </w:r>
          </w:p>
        </w:tc>
        <w:tc>
          <w:tcPr>
            <w:tcW w:w="927" w:type="pct"/>
            <w:tcBorders>
              <w:left w:val="single" w:sz="4" w:space="0" w:color="000000"/>
            </w:tcBorders>
            <w:vAlign w:val="center"/>
          </w:tcPr>
          <w:p w14:paraId="6D463099"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38C33DF1"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352C10C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vAlign w:val="center"/>
          </w:tcPr>
          <w:p w14:paraId="768D88E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Stationary*</w:t>
            </w:r>
          </w:p>
        </w:tc>
      </w:tr>
      <w:tr w:rsidR="00EA28F9" w:rsidRPr="00E234C3" w14:paraId="75CF2746" w14:textId="77777777" w:rsidTr="003A48E6">
        <w:tblPrEx>
          <w:tblBorders>
            <w:top w:val="none" w:sz="0" w:space="0" w:color="auto"/>
          </w:tblBorders>
        </w:tblPrEx>
        <w:tc>
          <w:tcPr>
            <w:tcW w:w="1128" w:type="pct"/>
            <w:tcBorders>
              <w:left w:val="nil"/>
              <w:bottom w:val="single" w:sz="4" w:space="0" w:color="000000"/>
              <w:right w:val="single" w:sz="4" w:space="0" w:color="000000"/>
            </w:tcBorders>
            <w:shd w:val="clear" w:color="auto" w:fill="EEECE1" w:themeFill="background2"/>
            <w:vAlign w:val="center"/>
          </w:tcPr>
          <w:p w14:paraId="0DC2D37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E</w:t>
            </w:r>
          </w:p>
        </w:tc>
        <w:tc>
          <w:tcPr>
            <w:tcW w:w="927" w:type="pct"/>
            <w:tcBorders>
              <w:left w:val="single" w:sz="4" w:space="0" w:color="000000"/>
              <w:bottom w:val="single" w:sz="4" w:space="0" w:color="000000"/>
            </w:tcBorders>
            <w:shd w:val="clear" w:color="auto" w:fill="EEECE1" w:themeFill="background2"/>
            <w:vAlign w:val="center"/>
          </w:tcPr>
          <w:p w14:paraId="0636DF7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bottom w:val="single" w:sz="4" w:space="0" w:color="000000"/>
            </w:tcBorders>
            <w:shd w:val="clear" w:color="auto" w:fill="EEECE1" w:themeFill="background2"/>
            <w:vAlign w:val="center"/>
          </w:tcPr>
          <w:p w14:paraId="02276EF0"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bottom w:val="single" w:sz="4" w:space="0" w:color="000000"/>
            </w:tcBorders>
            <w:shd w:val="clear" w:color="auto" w:fill="EEECE1" w:themeFill="background2"/>
            <w:vAlign w:val="center"/>
          </w:tcPr>
          <w:p w14:paraId="3DD7A21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bottom w:val="single" w:sz="4" w:space="0" w:color="000000"/>
              <w:right w:val="nil"/>
            </w:tcBorders>
            <w:shd w:val="clear" w:color="auto" w:fill="EEECE1" w:themeFill="background2"/>
            <w:vAlign w:val="center"/>
          </w:tcPr>
          <w:p w14:paraId="147208FA"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Stationary*</w:t>
            </w:r>
          </w:p>
        </w:tc>
      </w:tr>
      <w:tr w:rsidR="00EA28F9" w:rsidRPr="00E234C3" w14:paraId="05E63F70" w14:textId="77777777" w:rsidTr="003A48E6">
        <w:tblPrEx>
          <w:tblBorders>
            <w:top w:val="none" w:sz="0" w:space="0" w:color="auto"/>
          </w:tblBorders>
        </w:tblPrEx>
        <w:tc>
          <w:tcPr>
            <w:tcW w:w="1128" w:type="pct"/>
            <w:tcBorders>
              <w:top w:val="single" w:sz="4" w:space="0" w:color="000000"/>
              <w:left w:val="nil"/>
              <w:bottom w:val="single" w:sz="4" w:space="0" w:color="FFFFFF" w:themeColor="background1"/>
            </w:tcBorders>
            <w:vAlign w:val="bottom"/>
          </w:tcPr>
          <w:p w14:paraId="27229B12"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7" w:type="pct"/>
            <w:tcBorders>
              <w:top w:val="single" w:sz="4" w:space="0" w:color="000000"/>
              <w:bottom w:val="single" w:sz="4" w:space="0" w:color="FFFFFF" w:themeColor="background1"/>
            </w:tcBorders>
            <w:vAlign w:val="bottom"/>
          </w:tcPr>
          <w:p w14:paraId="75A3D814"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000000"/>
              <w:bottom w:val="single" w:sz="4" w:space="0" w:color="FFFFFF" w:themeColor="background1"/>
            </w:tcBorders>
            <w:vAlign w:val="bottom"/>
          </w:tcPr>
          <w:p w14:paraId="29A56F9A"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000000"/>
              <w:bottom w:val="single" w:sz="4" w:space="0" w:color="FFFFFF" w:themeColor="background1"/>
            </w:tcBorders>
            <w:vAlign w:val="bottom"/>
          </w:tcPr>
          <w:p w14:paraId="4AB735FF"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000000"/>
              <w:bottom w:val="single" w:sz="4" w:space="0" w:color="FFFFFF" w:themeColor="background1"/>
            </w:tcBorders>
            <w:vAlign w:val="bottom"/>
          </w:tcPr>
          <w:p w14:paraId="719F4350"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694084E4" w14:textId="77777777" w:rsidTr="003A48E6">
        <w:tblPrEx>
          <w:tblBorders>
            <w:top w:val="none" w:sz="0" w:space="0" w:color="auto"/>
          </w:tblBorders>
        </w:tblPrEx>
        <w:tc>
          <w:tcPr>
            <w:tcW w:w="1128" w:type="pct"/>
            <w:tcBorders>
              <w:top w:val="single" w:sz="4" w:space="0" w:color="FFFFFF" w:themeColor="background1"/>
              <w:left w:val="nil"/>
            </w:tcBorders>
            <w:vAlign w:val="bottom"/>
          </w:tcPr>
          <w:p w14:paraId="6D1C6A66"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7" w:type="pct"/>
            <w:tcBorders>
              <w:top w:val="single" w:sz="4" w:space="0" w:color="FFFFFF" w:themeColor="background1"/>
            </w:tcBorders>
            <w:vAlign w:val="bottom"/>
          </w:tcPr>
          <w:p w14:paraId="762ACC87"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FFFFFF" w:themeColor="background1"/>
            </w:tcBorders>
            <w:vAlign w:val="bottom"/>
          </w:tcPr>
          <w:p w14:paraId="62F55273"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FFFFFF" w:themeColor="background1"/>
            </w:tcBorders>
            <w:vAlign w:val="bottom"/>
          </w:tcPr>
          <w:p w14:paraId="7868E5E8"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FFFFFF" w:themeColor="background1"/>
            </w:tcBorders>
            <w:vAlign w:val="bottom"/>
          </w:tcPr>
          <w:p w14:paraId="6B48F734"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483E816E" w14:textId="77777777" w:rsidTr="003A48E6">
        <w:tblPrEx>
          <w:tblBorders>
            <w:top w:val="none" w:sz="0" w:space="0" w:color="auto"/>
          </w:tblBorders>
        </w:tblPrEx>
        <w:tc>
          <w:tcPr>
            <w:tcW w:w="1128" w:type="pct"/>
            <w:tcBorders>
              <w:top w:val="single" w:sz="4" w:space="0" w:color="FFFFFF" w:themeColor="background1"/>
              <w:left w:val="nil"/>
            </w:tcBorders>
            <w:vAlign w:val="bottom"/>
          </w:tcPr>
          <w:p w14:paraId="6B371A88" w14:textId="77777777" w:rsidR="00EA28F9" w:rsidRPr="00A623AC" w:rsidRDefault="00EA28F9" w:rsidP="003A48E6">
            <w:pPr>
              <w:autoSpaceDE w:val="0"/>
              <w:autoSpaceDN w:val="0"/>
              <w:adjustRightInd w:val="0"/>
              <w:spacing w:line="380" w:lineRule="atLeast"/>
              <w:rPr>
                <w:rFonts w:ascii="Calibri" w:hAnsi="Calibri" w:cs="Calibri"/>
                <w:b/>
                <w:color w:val="000000"/>
                <w:sz w:val="22"/>
                <w:szCs w:val="32"/>
              </w:rPr>
            </w:pPr>
            <w:r w:rsidRPr="00A623AC">
              <w:rPr>
                <w:rFonts w:ascii="Calibri" w:hAnsi="Calibri" w:cs="Calibri"/>
                <w:b/>
                <w:color w:val="000000"/>
                <w:sz w:val="22"/>
                <w:szCs w:val="32"/>
              </w:rPr>
              <w:t>B</w:t>
            </w:r>
          </w:p>
        </w:tc>
        <w:tc>
          <w:tcPr>
            <w:tcW w:w="927" w:type="pct"/>
            <w:tcBorders>
              <w:top w:val="single" w:sz="4" w:space="0" w:color="FFFFFF" w:themeColor="background1"/>
            </w:tcBorders>
            <w:vAlign w:val="bottom"/>
          </w:tcPr>
          <w:p w14:paraId="3C01CF57"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FFFFFF" w:themeColor="background1"/>
            </w:tcBorders>
            <w:vAlign w:val="bottom"/>
          </w:tcPr>
          <w:p w14:paraId="2C7C00DE"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FFFFFF" w:themeColor="background1"/>
            </w:tcBorders>
            <w:vAlign w:val="bottom"/>
          </w:tcPr>
          <w:p w14:paraId="2C3A0A55"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FFFFFF" w:themeColor="background1"/>
            </w:tcBorders>
            <w:vAlign w:val="bottom"/>
          </w:tcPr>
          <w:p w14:paraId="49AB35DF"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596F5B50" w14:textId="77777777" w:rsidTr="003A48E6">
        <w:tblPrEx>
          <w:tblBorders>
            <w:top w:val="none" w:sz="0" w:space="0" w:color="auto"/>
          </w:tblBorders>
        </w:tblPrEx>
        <w:tc>
          <w:tcPr>
            <w:tcW w:w="1128" w:type="pct"/>
            <w:tcBorders>
              <w:left w:val="nil"/>
              <w:bottom w:val="single" w:sz="4" w:space="0" w:color="000000"/>
              <w:right w:val="single" w:sz="4" w:space="0" w:color="FFFFFF" w:themeColor="background1"/>
            </w:tcBorders>
            <w:vAlign w:val="center"/>
          </w:tcPr>
          <w:p w14:paraId="20F83580"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r w:rsidRPr="00E234C3">
              <w:rPr>
                <w:rFonts w:ascii="Calibri" w:hAnsi="Calibri" w:cs="Calibri"/>
                <w:b/>
                <w:bCs/>
                <w:color w:val="000000"/>
                <w:sz w:val="22"/>
                <w:szCs w:val="42"/>
              </w:rPr>
              <w:t> </w:t>
            </w:r>
            <w:r>
              <w:rPr>
                <w:rFonts w:ascii="Calibri" w:hAnsi="Calibri" w:cs="Calibri"/>
                <w:b/>
                <w:bCs/>
                <w:color w:val="000000"/>
                <w:sz w:val="22"/>
                <w:szCs w:val="42"/>
              </w:rPr>
              <w:t>Samples</w:t>
            </w:r>
          </w:p>
        </w:tc>
        <w:tc>
          <w:tcPr>
            <w:tcW w:w="927" w:type="pct"/>
            <w:tcBorders>
              <w:left w:val="single" w:sz="4" w:space="0" w:color="FFFFFF" w:themeColor="background1"/>
              <w:bottom w:val="single" w:sz="4" w:space="0" w:color="000000"/>
            </w:tcBorders>
            <w:vAlign w:val="center"/>
          </w:tcPr>
          <w:p w14:paraId="6D292F7D"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Na level</w:t>
            </w:r>
          </w:p>
        </w:tc>
        <w:tc>
          <w:tcPr>
            <w:tcW w:w="928" w:type="pct"/>
            <w:tcBorders>
              <w:bottom w:val="single" w:sz="4" w:space="0" w:color="000000"/>
            </w:tcBorders>
            <w:vAlign w:val="center"/>
          </w:tcPr>
          <w:p w14:paraId="600FACE5"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Mg Level</w:t>
            </w:r>
          </w:p>
        </w:tc>
        <w:tc>
          <w:tcPr>
            <w:tcW w:w="1073" w:type="pct"/>
            <w:tcBorders>
              <w:bottom w:val="single" w:sz="4" w:space="0" w:color="000000"/>
            </w:tcBorders>
            <w:vAlign w:val="center"/>
          </w:tcPr>
          <w:p w14:paraId="5468A8FA"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Carbon source</w:t>
            </w:r>
          </w:p>
        </w:tc>
        <w:tc>
          <w:tcPr>
            <w:tcW w:w="944" w:type="pct"/>
            <w:tcBorders>
              <w:bottom w:val="single" w:sz="4" w:space="0" w:color="000000"/>
            </w:tcBorders>
            <w:vAlign w:val="center"/>
          </w:tcPr>
          <w:p w14:paraId="4E276C37" w14:textId="3E72884D" w:rsidR="00EA28F9" w:rsidRPr="00B529C7" w:rsidRDefault="00DE3836" w:rsidP="003A48E6">
            <w:pPr>
              <w:autoSpaceDE w:val="0"/>
              <w:autoSpaceDN w:val="0"/>
              <w:adjustRightInd w:val="0"/>
              <w:spacing w:line="380" w:lineRule="atLeast"/>
              <w:rPr>
                <w:rFonts w:ascii="Calibri" w:hAnsi="Calibri" w:cs="Calibri"/>
                <w:color w:val="000000"/>
                <w:sz w:val="22"/>
                <w:szCs w:val="32"/>
              </w:rPr>
            </w:pPr>
            <w:r>
              <w:rPr>
                <w:rFonts w:ascii="Calibri" w:hAnsi="Calibri" w:cs="Calibri"/>
                <w:bCs/>
                <w:color w:val="000000"/>
                <w:sz w:val="22"/>
                <w:szCs w:val="42"/>
              </w:rPr>
              <w:t>Growth</w:t>
            </w:r>
          </w:p>
        </w:tc>
      </w:tr>
      <w:tr w:rsidR="00EA28F9" w:rsidRPr="00E234C3" w14:paraId="5401E733" w14:textId="77777777" w:rsidTr="003A48E6">
        <w:tblPrEx>
          <w:tblBorders>
            <w:top w:val="none" w:sz="0" w:space="0" w:color="auto"/>
          </w:tblBorders>
        </w:tblPrEx>
        <w:tc>
          <w:tcPr>
            <w:tcW w:w="1128" w:type="pct"/>
            <w:tcBorders>
              <w:top w:val="single" w:sz="4" w:space="0" w:color="000000"/>
              <w:left w:val="nil"/>
              <w:right w:val="single" w:sz="4" w:space="0" w:color="000000"/>
            </w:tcBorders>
            <w:shd w:val="clear" w:color="auto" w:fill="EEECE1" w:themeFill="background2"/>
            <w:vAlign w:val="center"/>
          </w:tcPr>
          <w:p w14:paraId="200EE40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A</w:t>
            </w:r>
          </w:p>
        </w:tc>
        <w:tc>
          <w:tcPr>
            <w:tcW w:w="927" w:type="pct"/>
            <w:tcBorders>
              <w:top w:val="single" w:sz="4" w:space="0" w:color="000000"/>
              <w:left w:val="single" w:sz="4" w:space="0" w:color="000000"/>
            </w:tcBorders>
            <w:shd w:val="clear" w:color="auto" w:fill="EEECE1" w:themeFill="background2"/>
            <w:vAlign w:val="center"/>
          </w:tcPr>
          <w:p w14:paraId="764EC3D2"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top w:val="single" w:sz="4" w:space="0" w:color="000000"/>
            </w:tcBorders>
            <w:shd w:val="clear" w:color="auto" w:fill="EEECE1" w:themeFill="background2"/>
            <w:vAlign w:val="center"/>
          </w:tcPr>
          <w:p w14:paraId="46BB42FA"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top w:val="single" w:sz="4" w:space="0" w:color="000000"/>
            </w:tcBorders>
            <w:shd w:val="clear" w:color="auto" w:fill="EEECE1" w:themeFill="background2"/>
            <w:vAlign w:val="center"/>
          </w:tcPr>
          <w:p w14:paraId="19055C0C"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Gluconate</w:t>
            </w:r>
          </w:p>
        </w:tc>
        <w:tc>
          <w:tcPr>
            <w:tcW w:w="944" w:type="pct"/>
            <w:tcBorders>
              <w:top w:val="single" w:sz="4" w:space="0" w:color="000000"/>
            </w:tcBorders>
            <w:shd w:val="clear" w:color="auto" w:fill="EEECE1" w:themeFill="background2"/>
            <w:vAlign w:val="center"/>
          </w:tcPr>
          <w:p w14:paraId="7DA8E90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69B4D4C9" w14:textId="77777777" w:rsidTr="003A48E6">
        <w:tblPrEx>
          <w:tblBorders>
            <w:top w:val="none" w:sz="0" w:space="0" w:color="auto"/>
          </w:tblBorders>
        </w:tblPrEx>
        <w:tc>
          <w:tcPr>
            <w:tcW w:w="1128" w:type="pct"/>
            <w:tcBorders>
              <w:left w:val="nil"/>
              <w:right w:val="single" w:sz="4" w:space="0" w:color="000000"/>
            </w:tcBorders>
            <w:vAlign w:val="center"/>
          </w:tcPr>
          <w:p w14:paraId="680F6804"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B</w:t>
            </w:r>
          </w:p>
        </w:tc>
        <w:tc>
          <w:tcPr>
            <w:tcW w:w="927" w:type="pct"/>
            <w:tcBorders>
              <w:left w:val="single" w:sz="4" w:space="0" w:color="000000"/>
            </w:tcBorders>
            <w:vAlign w:val="center"/>
          </w:tcPr>
          <w:p w14:paraId="32164F2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1CE73BA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6DE816C9"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Gluconate*</w:t>
            </w:r>
          </w:p>
        </w:tc>
        <w:tc>
          <w:tcPr>
            <w:tcW w:w="944" w:type="pct"/>
            <w:vAlign w:val="center"/>
          </w:tcPr>
          <w:p w14:paraId="7BBF01CB"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2B33F34A" w14:textId="77777777" w:rsidTr="003A48E6">
        <w:tblPrEx>
          <w:tblBorders>
            <w:top w:val="none" w:sz="0" w:space="0" w:color="auto"/>
          </w:tblBorders>
        </w:tblPrEx>
        <w:tc>
          <w:tcPr>
            <w:tcW w:w="1128" w:type="pct"/>
            <w:tcBorders>
              <w:left w:val="nil"/>
              <w:right w:val="single" w:sz="4" w:space="0" w:color="000000"/>
            </w:tcBorders>
            <w:shd w:val="clear" w:color="auto" w:fill="EEECE1" w:themeFill="background2"/>
            <w:vAlign w:val="center"/>
          </w:tcPr>
          <w:p w14:paraId="59540F97"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C</w:t>
            </w:r>
          </w:p>
        </w:tc>
        <w:tc>
          <w:tcPr>
            <w:tcW w:w="927" w:type="pct"/>
            <w:tcBorders>
              <w:left w:val="single" w:sz="4" w:space="0" w:color="000000"/>
            </w:tcBorders>
            <w:shd w:val="clear" w:color="auto" w:fill="EEECE1" w:themeFill="background2"/>
            <w:vAlign w:val="center"/>
          </w:tcPr>
          <w:p w14:paraId="08E6F54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Pr>
                <w:rFonts w:ascii="Calibri" w:hAnsi="Calibri" w:cs="Calibri"/>
                <w:color w:val="000000"/>
                <w:sz w:val="22"/>
                <w:szCs w:val="42"/>
              </w:rPr>
              <w:t>h</w:t>
            </w:r>
            <w:r w:rsidRPr="00E234C3">
              <w:rPr>
                <w:rFonts w:ascii="Calibri" w:hAnsi="Calibri" w:cs="Calibri"/>
                <w:color w:val="000000"/>
                <w:sz w:val="22"/>
                <w:szCs w:val="42"/>
              </w:rPr>
              <w:t>igh Na*</w:t>
            </w:r>
          </w:p>
        </w:tc>
        <w:tc>
          <w:tcPr>
            <w:tcW w:w="928" w:type="pct"/>
            <w:shd w:val="clear" w:color="auto" w:fill="EEECE1" w:themeFill="background2"/>
            <w:vAlign w:val="center"/>
          </w:tcPr>
          <w:p w14:paraId="1F5BEA4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shd w:val="clear" w:color="auto" w:fill="EEECE1" w:themeFill="background2"/>
            <w:vAlign w:val="center"/>
          </w:tcPr>
          <w:p w14:paraId="24375E9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shd w:val="clear" w:color="auto" w:fill="EEECE1" w:themeFill="background2"/>
            <w:vAlign w:val="center"/>
          </w:tcPr>
          <w:p w14:paraId="7B34948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4C5DD8E6" w14:textId="77777777" w:rsidTr="003A48E6">
        <w:tblPrEx>
          <w:tblBorders>
            <w:top w:val="none" w:sz="0" w:space="0" w:color="auto"/>
          </w:tblBorders>
        </w:tblPrEx>
        <w:tc>
          <w:tcPr>
            <w:tcW w:w="1128" w:type="pct"/>
            <w:tcBorders>
              <w:left w:val="nil"/>
              <w:right w:val="single" w:sz="4" w:space="0" w:color="000000"/>
            </w:tcBorders>
            <w:vAlign w:val="center"/>
          </w:tcPr>
          <w:p w14:paraId="03092059"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D</w:t>
            </w:r>
          </w:p>
        </w:tc>
        <w:tc>
          <w:tcPr>
            <w:tcW w:w="927" w:type="pct"/>
            <w:tcBorders>
              <w:left w:val="single" w:sz="4" w:space="0" w:color="000000"/>
            </w:tcBorders>
            <w:vAlign w:val="center"/>
          </w:tcPr>
          <w:p w14:paraId="102AAE3B"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506AD43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2D5D31F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vAlign w:val="center"/>
          </w:tcPr>
          <w:p w14:paraId="6B5238E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Stationary*</w:t>
            </w:r>
          </w:p>
        </w:tc>
      </w:tr>
      <w:tr w:rsidR="00EA28F9" w:rsidRPr="00E234C3" w14:paraId="51E387C2" w14:textId="77777777" w:rsidTr="003A48E6">
        <w:tc>
          <w:tcPr>
            <w:tcW w:w="1128" w:type="pct"/>
            <w:tcBorders>
              <w:top w:val="nil"/>
              <w:left w:val="nil"/>
              <w:bottom w:val="single" w:sz="4" w:space="0" w:color="000000"/>
              <w:right w:val="single" w:sz="4" w:space="0" w:color="000000"/>
            </w:tcBorders>
            <w:shd w:val="clear" w:color="auto" w:fill="EEECE1" w:themeFill="background2"/>
            <w:vAlign w:val="center"/>
          </w:tcPr>
          <w:p w14:paraId="4756C772"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E</w:t>
            </w:r>
          </w:p>
        </w:tc>
        <w:tc>
          <w:tcPr>
            <w:tcW w:w="927" w:type="pct"/>
            <w:tcBorders>
              <w:left w:val="single" w:sz="4" w:space="0" w:color="000000"/>
              <w:bottom w:val="single" w:sz="4" w:space="0" w:color="000000"/>
            </w:tcBorders>
            <w:shd w:val="clear" w:color="auto" w:fill="EEECE1" w:themeFill="background2"/>
            <w:vAlign w:val="center"/>
          </w:tcPr>
          <w:p w14:paraId="672E3CB9"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bottom w:val="single" w:sz="4" w:space="0" w:color="000000"/>
            </w:tcBorders>
            <w:shd w:val="clear" w:color="auto" w:fill="EEECE1" w:themeFill="background2"/>
            <w:vAlign w:val="center"/>
          </w:tcPr>
          <w:p w14:paraId="73DC7D0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bottom w:val="single" w:sz="4" w:space="0" w:color="000000"/>
            </w:tcBorders>
            <w:shd w:val="clear" w:color="auto" w:fill="EEECE1" w:themeFill="background2"/>
            <w:vAlign w:val="center"/>
          </w:tcPr>
          <w:p w14:paraId="6CB4ED4C"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bottom w:val="single" w:sz="4" w:space="0" w:color="000000"/>
            </w:tcBorders>
            <w:shd w:val="clear" w:color="auto" w:fill="EEECE1" w:themeFill="background2"/>
            <w:vAlign w:val="center"/>
          </w:tcPr>
          <w:p w14:paraId="74007DB5"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04B5B89C" w14:textId="7720EEA9" w:rsidR="00EA28F9" w:rsidRPr="008A776D" w:rsidRDefault="00EA28F9" w:rsidP="00EA28F9">
      <w:pPr>
        <w:tabs>
          <w:tab w:val="left" w:pos="0"/>
          <w:tab w:val="left" w:pos="7376"/>
        </w:tabs>
      </w:pPr>
      <w:commentRangeStart w:id="4"/>
      <w:r>
        <w:rPr>
          <w:b/>
        </w:rPr>
        <w:t>Table 3</w:t>
      </w:r>
      <w:r w:rsidRPr="008A776D">
        <w:rPr>
          <w:b/>
        </w:rPr>
        <w:t xml:space="preserve">. </w:t>
      </w:r>
      <w:commentRangeEnd w:id="4"/>
      <w:r w:rsidR="00782335">
        <w:rPr>
          <w:rStyle w:val="CommentReference"/>
        </w:rPr>
        <w:commentReference w:id="4"/>
      </w:r>
      <w:r>
        <w:t xml:space="preserve">The performance of the protein model on external data. A) The gaps on test data is filled by the median values of the training data. B) The training data is trained with the subset of proteins that match with test data. </w:t>
      </w:r>
      <w:r w:rsidRPr="00F76E73">
        <w:t xml:space="preserve">Black cells indicate a correct prediction. The orange cells indicate a prediction in between. The red cells indicate a wrong prediction. “*” </w:t>
      </w:r>
      <w:r>
        <w:t>indicates a true not-base value.</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ilke, Claus O" w:date="2017-05-31T18:18:00Z" w:initials="WCO">
    <w:p w14:paraId="5474358C" w14:textId="77777777" w:rsidR="001B4F39" w:rsidRDefault="001B4F39" w:rsidP="001B4F39">
      <w:pPr>
        <w:pStyle w:val="CommentText"/>
      </w:pPr>
      <w:r>
        <w:rPr>
          <w:rStyle w:val="CommentReference"/>
        </w:rPr>
        <w:annotationRef/>
      </w:r>
      <w:r>
        <w:t xml:space="preserve">This is for the tuning state? If yes it should say so explicitly. </w:t>
      </w:r>
      <w:proofErr w:type="gramStart"/>
      <w:r>
        <w:t>Also</w:t>
      </w:r>
      <w:proofErr w:type="gramEnd"/>
      <w:r>
        <w:t xml:space="preserve"> table captions should be </w:t>
      </w:r>
      <w:r w:rsidRPr="002E2E3A">
        <w:rPr>
          <w:b/>
          <w:bCs/>
        </w:rPr>
        <w:t>above</w:t>
      </w:r>
      <w:r>
        <w:t xml:space="preserve"> the table.</w:t>
      </w:r>
    </w:p>
    <w:p w14:paraId="09370D9C" w14:textId="77777777" w:rsidR="001B4F39" w:rsidRDefault="001B4F39" w:rsidP="001B4F39">
      <w:pPr>
        <w:pStyle w:val="CommentText"/>
      </w:pPr>
    </w:p>
    <w:p w14:paraId="2011D3AB" w14:textId="77777777" w:rsidR="001B4F39" w:rsidRDefault="001B4F39" w:rsidP="001B4F39">
      <w:pPr>
        <w:pStyle w:val="CommentText"/>
      </w:pPr>
      <w:r>
        <w:t>Finally, keep the same order of models between Tables 1, 2, and 3.</w:t>
      </w:r>
    </w:p>
  </w:comment>
  <w:comment w:id="2" w:author="Wilke, Claus O" w:date="2017-06-01T18:26:00Z" w:initials="WCO">
    <w:p w14:paraId="4C79E615" w14:textId="77777777" w:rsidR="00003FDC" w:rsidRDefault="00003FDC" w:rsidP="00003FDC">
      <w:pPr>
        <w:pStyle w:val="CommentText"/>
      </w:pPr>
      <w:r>
        <w:rPr>
          <w:rStyle w:val="CommentReference"/>
        </w:rPr>
        <w:annotationRef/>
      </w:r>
      <w:r>
        <w:t>What is the meaning of the stars in the column for the adjusted P value? Also, the table does not actually indicate which dataset gives the better prediction in each case.</w:t>
      </w:r>
    </w:p>
  </w:comment>
  <w:comment w:id="3" w:author="Mehmet Umut CAGLAR" w:date="2018-05-17T11:54:00Z" w:initials="MUC">
    <w:p w14:paraId="6CD332C7" w14:textId="7F011831" w:rsidR="004F672D" w:rsidRDefault="004F672D">
      <w:pPr>
        <w:pStyle w:val="CommentText"/>
      </w:pPr>
      <w:r>
        <w:rPr>
          <w:rStyle w:val="CommentReference"/>
        </w:rPr>
        <w:annotationRef/>
      </w:r>
      <w:r>
        <w:t>The answer is in figure 5</w:t>
      </w:r>
    </w:p>
  </w:comment>
  <w:comment w:id="4" w:author="Hockenberry, Adam J" w:date="2018-03-07T10:38:00Z" w:initials="HAJ">
    <w:p w14:paraId="6C62BCA3" w14:textId="77777777" w:rsidR="00782335" w:rsidRDefault="00782335">
      <w:pPr>
        <w:pStyle w:val="CommentText"/>
      </w:pPr>
      <w:r>
        <w:rPr>
          <w:rStyle w:val="CommentReference"/>
        </w:rPr>
        <w:annotationRef/>
      </w:r>
      <w:r>
        <w:t xml:space="preserve">In addition to finding this table not entirely convincing, I also find it to be a bit confusing. Could you do like: Actual (predicted) for each cell? </w:t>
      </w:r>
      <w:proofErr w:type="gramStart"/>
      <w:r>
        <w:t>So</w:t>
      </w:r>
      <w:proofErr w:type="gramEnd"/>
      <w:r>
        <w:t xml:space="preserve"> you could show that Sample A is actually base Na and you predicted base Na?</w:t>
      </w:r>
    </w:p>
    <w:p w14:paraId="57C266D3" w14:textId="46A86D16" w:rsidR="00782335" w:rsidRDefault="0078233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11D3AB" w15:done="0"/>
  <w15:commentEx w15:paraId="4C79E615" w15:done="0"/>
  <w15:commentEx w15:paraId="6CD332C7" w15:paraIdParent="4C79E615" w15:done="0"/>
  <w15:commentEx w15:paraId="57C266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11D3AB" w16cid:durableId="1E1D8142"/>
  <w16cid:commentId w16cid:paraId="4C79E615" w16cid:durableId="1E1D8143"/>
  <w16cid:commentId w16cid:paraId="6CD332C7" w16cid:durableId="1EA7EC0A"/>
  <w16cid:commentId w16cid:paraId="57C266D3" w16cid:durableId="1E4A3F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9F12D" w14:textId="77777777" w:rsidR="00D171D7" w:rsidRDefault="00D171D7" w:rsidP="00170DD6">
      <w:r>
        <w:separator/>
      </w:r>
    </w:p>
  </w:endnote>
  <w:endnote w:type="continuationSeparator" w:id="0">
    <w:p w14:paraId="1B4685B3" w14:textId="77777777" w:rsidR="00D171D7" w:rsidRDefault="00D171D7"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384A0" w14:textId="77777777" w:rsidR="00D171D7" w:rsidRDefault="00D171D7" w:rsidP="00170DD6">
      <w:r>
        <w:separator/>
      </w:r>
    </w:p>
  </w:footnote>
  <w:footnote w:type="continuationSeparator" w:id="0">
    <w:p w14:paraId="6A38E42B" w14:textId="77777777" w:rsidR="00D171D7" w:rsidRDefault="00D171D7"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ke, Claus O">
    <w15:presenceInfo w15:providerId="None" w15:userId="Wilke, Claus O"/>
  </w15:person>
  <w15:person w15:author="Hockenberry, Adam J">
    <w15:presenceInfo w15:providerId="Windows Live" w15:userId="5f19c907-8937-4b8b-a16f-152094f46f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D45A9"/>
    <w:rsid w:val="000E07C0"/>
    <w:rsid w:val="000F5B59"/>
    <w:rsid w:val="0010136C"/>
    <w:rsid w:val="00111408"/>
    <w:rsid w:val="00113BB9"/>
    <w:rsid w:val="00116093"/>
    <w:rsid w:val="00134A40"/>
    <w:rsid w:val="0014397B"/>
    <w:rsid w:val="00144E67"/>
    <w:rsid w:val="00154F29"/>
    <w:rsid w:val="00156D27"/>
    <w:rsid w:val="001652C9"/>
    <w:rsid w:val="00170DD6"/>
    <w:rsid w:val="00173E4A"/>
    <w:rsid w:val="00176127"/>
    <w:rsid w:val="0017633B"/>
    <w:rsid w:val="00177AF3"/>
    <w:rsid w:val="00181BD3"/>
    <w:rsid w:val="00191EB2"/>
    <w:rsid w:val="001A287B"/>
    <w:rsid w:val="001B4F39"/>
    <w:rsid w:val="001C358C"/>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D2F"/>
    <w:rsid w:val="00282892"/>
    <w:rsid w:val="00290F66"/>
    <w:rsid w:val="002937EB"/>
    <w:rsid w:val="0029607C"/>
    <w:rsid w:val="002A0F58"/>
    <w:rsid w:val="002B41AC"/>
    <w:rsid w:val="002B51C5"/>
    <w:rsid w:val="002E1FCE"/>
    <w:rsid w:val="002E2E3A"/>
    <w:rsid w:val="002F0DD6"/>
    <w:rsid w:val="002F1D8E"/>
    <w:rsid w:val="002F76FB"/>
    <w:rsid w:val="00303DF3"/>
    <w:rsid w:val="003064B2"/>
    <w:rsid w:val="003124D1"/>
    <w:rsid w:val="00316F4D"/>
    <w:rsid w:val="00317C11"/>
    <w:rsid w:val="00327A9B"/>
    <w:rsid w:val="00336282"/>
    <w:rsid w:val="00347DE5"/>
    <w:rsid w:val="0035006B"/>
    <w:rsid w:val="00364D59"/>
    <w:rsid w:val="00367B42"/>
    <w:rsid w:val="00377D79"/>
    <w:rsid w:val="00390E73"/>
    <w:rsid w:val="003C41D3"/>
    <w:rsid w:val="003C4473"/>
    <w:rsid w:val="003C554D"/>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644E"/>
    <w:rsid w:val="0049204A"/>
    <w:rsid w:val="004C729B"/>
    <w:rsid w:val="004C7C9D"/>
    <w:rsid w:val="004E0C91"/>
    <w:rsid w:val="004E7A92"/>
    <w:rsid w:val="004F672D"/>
    <w:rsid w:val="00503231"/>
    <w:rsid w:val="005123F8"/>
    <w:rsid w:val="0051585E"/>
    <w:rsid w:val="00546AA3"/>
    <w:rsid w:val="00585674"/>
    <w:rsid w:val="005A1084"/>
    <w:rsid w:val="005A565E"/>
    <w:rsid w:val="005C7637"/>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5C40"/>
    <w:rsid w:val="00917F40"/>
    <w:rsid w:val="00932167"/>
    <w:rsid w:val="009366F1"/>
    <w:rsid w:val="00944D7D"/>
    <w:rsid w:val="00945B5F"/>
    <w:rsid w:val="00945CEA"/>
    <w:rsid w:val="00977FC2"/>
    <w:rsid w:val="009807FB"/>
    <w:rsid w:val="009B0271"/>
    <w:rsid w:val="009B17B5"/>
    <w:rsid w:val="009B28E3"/>
    <w:rsid w:val="009C66FC"/>
    <w:rsid w:val="009C748B"/>
    <w:rsid w:val="009F4992"/>
    <w:rsid w:val="00A06C51"/>
    <w:rsid w:val="00A11B45"/>
    <w:rsid w:val="00A17277"/>
    <w:rsid w:val="00A36E72"/>
    <w:rsid w:val="00A54B4E"/>
    <w:rsid w:val="00A57F59"/>
    <w:rsid w:val="00A60728"/>
    <w:rsid w:val="00A65662"/>
    <w:rsid w:val="00A96C26"/>
    <w:rsid w:val="00A96D47"/>
    <w:rsid w:val="00AA0902"/>
    <w:rsid w:val="00AA09C3"/>
    <w:rsid w:val="00AA2441"/>
    <w:rsid w:val="00AB64FD"/>
    <w:rsid w:val="00AC3523"/>
    <w:rsid w:val="00AD346C"/>
    <w:rsid w:val="00AE0797"/>
    <w:rsid w:val="00AE69C1"/>
    <w:rsid w:val="00AE7B1E"/>
    <w:rsid w:val="00AE7CCE"/>
    <w:rsid w:val="00B259E2"/>
    <w:rsid w:val="00B30148"/>
    <w:rsid w:val="00B3323E"/>
    <w:rsid w:val="00B43142"/>
    <w:rsid w:val="00B61D74"/>
    <w:rsid w:val="00B64D5E"/>
    <w:rsid w:val="00B87672"/>
    <w:rsid w:val="00B95FF5"/>
    <w:rsid w:val="00BC7273"/>
    <w:rsid w:val="00BD144F"/>
    <w:rsid w:val="00BD3351"/>
    <w:rsid w:val="00BE372F"/>
    <w:rsid w:val="00C07EF0"/>
    <w:rsid w:val="00C40EC8"/>
    <w:rsid w:val="00C527AA"/>
    <w:rsid w:val="00C70E07"/>
    <w:rsid w:val="00C94E42"/>
    <w:rsid w:val="00CA0125"/>
    <w:rsid w:val="00CA7515"/>
    <w:rsid w:val="00CC003E"/>
    <w:rsid w:val="00CC0135"/>
    <w:rsid w:val="00CD61E2"/>
    <w:rsid w:val="00CE1590"/>
    <w:rsid w:val="00D052B4"/>
    <w:rsid w:val="00D130F8"/>
    <w:rsid w:val="00D14399"/>
    <w:rsid w:val="00D171D7"/>
    <w:rsid w:val="00D216F5"/>
    <w:rsid w:val="00D324A8"/>
    <w:rsid w:val="00D37948"/>
    <w:rsid w:val="00D54972"/>
    <w:rsid w:val="00D62D32"/>
    <w:rsid w:val="00D651B9"/>
    <w:rsid w:val="00D6728E"/>
    <w:rsid w:val="00D7276F"/>
    <w:rsid w:val="00D74190"/>
    <w:rsid w:val="00D80F57"/>
    <w:rsid w:val="00D95B4F"/>
    <w:rsid w:val="00DA257C"/>
    <w:rsid w:val="00DA2F85"/>
    <w:rsid w:val="00DC1F66"/>
    <w:rsid w:val="00DD7762"/>
    <w:rsid w:val="00DE3836"/>
    <w:rsid w:val="00DF5726"/>
    <w:rsid w:val="00DF684F"/>
    <w:rsid w:val="00E13A41"/>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C6725"/>
    <w:rsid w:val="00EC7157"/>
    <w:rsid w:val="00EE2709"/>
    <w:rsid w:val="00EE5BCF"/>
    <w:rsid w:val="00EF44E9"/>
    <w:rsid w:val="00F03EC6"/>
    <w:rsid w:val="00F1247B"/>
    <w:rsid w:val="00F24874"/>
    <w:rsid w:val="00F40493"/>
    <w:rsid w:val="00F441A2"/>
    <w:rsid w:val="00F44ED2"/>
    <w:rsid w:val="00F577C2"/>
    <w:rsid w:val="00F60743"/>
    <w:rsid w:val="00F71EEF"/>
    <w:rsid w:val="00F92005"/>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DDD5F-B4D1-1245-86F5-66BFED5AC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9</Pages>
  <Words>926</Words>
  <Characters>5280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150</cp:revision>
  <dcterms:created xsi:type="dcterms:W3CDTF">2016-05-24T04:01:00Z</dcterms:created>
  <dcterms:modified xsi:type="dcterms:W3CDTF">2018-05-17T17:00:00Z</dcterms:modified>
</cp:coreProperties>
</file>